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>con tecnologia ad anelli segmentati</w:t>
      </w:r>
    </w:p>
    <w:p>
      <w:pPr/>
      <w:r>
        <w:rPr/>
        <w:t xml:space="preserve">per la guarnizione di cavi in fori di carotaggio o tubi di rivestimento. Finitura divisa per la guarnizione di cavi da installare o già posati. Il numero e il diametro dei cavi possono essere personalizzati.</w:t>
      </w:r>
    </w:p>
    <w:p/>
    <w:p>
      <w:pPr/>
      <w:r>
        <w:rPr/>
        <w:t xml:space="preserve">Dimensioni: Larghezza di tenuta 40 mm; Lastre pressopiegate: 5 mm; disponibile per fori di carotaggio/tubi di rivestimento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dadi e rondelle: acciaio inox V2A (AISI 304L) o V4A (AISI 316L); Gomma: EPDM o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impermeabile; a tenuta di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realizzazione personalizzata a seconda delle esigenze; Tecnologia ad anelli segmentati per l'adattamento a tre o cinque diversi diametri di tubi in loco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2024-04-30T02:16:06+02:00</dcterms:created>
  <dcterms:modified xsi:type="dcterms:W3CDTF">2024-04-30T02:16:06+02:00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