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étanchement de câbles dans carottages ou gaines. Version segmentée pour étanchement de câbles nouvellement installés ou déjà posés. Le nombre et le diamètre des câbles sont déterminés par le client.</w:t>
      </w:r>
    </w:p>
    <w:p/>
    <w:p>
      <w:pPr/>
      <w:r>
        <w:rPr/>
        <w:t xml:space="preserve">Dimensions: Largeur d'étanchement : 40 mm; Plaques de presse : 5 mm; Fournies pour carottages/gaines de Ø : 50 - 200 mm</w:t>
      </w:r>
    </w:p>
    <w:p>
      <w:pPr>
        <w:spacing w:before="40" w:after="80"/>
      </w:pPr>
      <w:r>
        <w:rPr>
          <w:rFonts w:ascii="Arial" w:hAnsi="Arial" w:eastAsia="Arial" w:cs="Arial"/>
          <w:sz w:val="20"/>
          <w:szCs w:val="20"/>
        </w:rPr>
        <w:t xml:space="preserve">Matériau: Plaques de presse, vis, écrous et rondelles : acier inoxydable AISI 304L ou AISI 316L; Caoutchouc : EPDM ou NBR</w:t>
      </w:r>
    </w:p>
    <w:p>
      <w:pPr>
        <w:spacing w:before="40" w:after="80"/>
      </w:pPr>
      <w:r>
        <w:rPr>
          <w:rFonts w:ascii="Arial" w:hAnsi="Arial" w:eastAsia="Arial" w:cs="Arial"/>
          <w:sz w:val="20"/>
          <w:szCs w:val="20"/>
        </w:rPr>
        <w:t xml:space="preserve">Cas de charge: Béton étanche, classe de sollicitation 2; Béton étanche, classe de sollicitation 1</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w:t>
      </w:r>
    </w:p>
    <w:p>
      <w:pPr>
        <w:spacing w:before="40" w:after="80"/>
      </w:pPr>
      <w:r>
        <w:rPr>
          <w:rFonts w:ascii="Arial" w:hAnsi="Arial" w:eastAsia="Arial" w:cs="Arial"/>
          <w:sz w:val="20"/>
          <w:szCs w:val="20"/>
        </w:rPr>
        <w:t xml:space="preserve">Code d‘article: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2024-05-04T05:08:36+02:00</dcterms:created>
  <dcterms:modified xsi:type="dcterms:W3CDTF">2024-05-04T05:08:36+02:00</dcterms:modified>
</cp:coreProperties>
</file>

<file path=docProps/custom.xml><?xml version="1.0" encoding="utf-8"?>
<Properties xmlns="http://schemas.openxmlformats.org/officeDocument/2006/custom-properties" xmlns:vt="http://schemas.openxmlformats.org/officeDocument/2006/docPropsVTypes"/>
</file>